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602A" w14:textId="0B66EDE5" w:rsidR="00734D1A" w:rsidRPr="00E1570E" w:rsidRDefault="006359A1" w:rsidP="002E4674">
      <w:pPr>
        <w:spacing w:line="360" w:lineRule="auto"/>
        <w:jc w:val="both"/>
        <w:rPr>
          <w:rFonts w:ascii="Times New Roman" w:hAnsi="Times New Roman" w:cs="Times New Roman"/>
          <w:sz w:val="80"/>
          <w:szCs w:val="80"/>
        </w:rPr>
      </w:pPr>
      <w:r w:rsidRPr="002E4674">
        <w:rPr>
          <w:rFonts w:ascii="Times New Roman" w:hAnsi="Times New Roman" w:cs="Times New Roman"/>
          <w:noProof/>
          <w:sz w:val="80"/>
          <w:szCs w:val="80"/>
          <w:lang w:eastAsia="cs-CZ"/>
        </w:rPr>
        <w:drawing>
          <wp:inline distT="0" distB="0" distL="0" distR="0" wp14:anchorId="4F38487E" wp14:editId="3D41D706">
            <wp:extent cx="3200842" cy="510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s college logopng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825" cy="511973"/>
                    </a:xfrm>
                    <a:prstGeom prst="rect">
                      <a:avLst/>
                    </a:prstGeom>
                  </pic:spPr>
                </pic:pic>
              </a:graphicData>
            </a:graphic>
          </wp:inline>
        </w:drawing>
      </w:r>
      <w:r w:rsidR="00734D1A" w:rsidRPr="002E4674">
        <w:rPr>
          <w:rFonts w:ascii="Times New Roman" w:hAnsi="Times New Roman" w:cs="Times New Roman"/>
          <w:sz w:val="80"/>
          <w:szCs w:val="80"/>
        </w:rPr>
        <w:t xml:space="preserve">       </w:t>
      </w:r>
      <w:r w:rsidR="00734D1A" w:rsidRPr="002E4674">
        <w:rPr>
          <w:rFonts w:ascii="Times New Roman" w:hAnsi="Times New Roman" w:cs="Times New Roman"/>
          <w:noProof/>
          <w:sz w:val="80"/>
          <w:szCs w:val="80"/>
          <w:lang w:eastAsia="cs-CZ"/>
        </w:rPr>
        <w:drawing>
          <wp:inline distT="0" distB="0" distL="0" distR="0" wp14:anchorId="21E2E570" wp14:editId="1888AE84">
            <wp:extent cx="1714091" cy="489551"/>
            <wp:effectExtent l="0" t="0" r="63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co_funded_pos_[rgb]_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0534" cy="497103"/>
                    </a:xfrm>
                    <a:prstGeom prst="rect">
                      <a:avLst/>
                    </a:prstGeom>
                  </pic:spPr>
                </pic:pic>
              </a:graphicData>
            </a:graphic>
          </wp:inline>
        </w:drawing>
      </w:r>
    </w:p>
    <w:p w14:paraId="5A51F73C" w14:textId="46A036F1" w:rsidR="00660214" w:rsidRPr="002E4674" w:rsidRDefault="00690B78" w:rsidP="00E1570E">
      <w:pPr>
        <w:spacing w:line="360" w:lineRule="auto"/>
        <w:jc w:val="center"/>
        <w:rPr>
          <w:rFonts w:ascii="Times New Roman" w:hAnsi="Times New Roman" w:cs="Times New Roman"/>
          <w:b/>
          <w:color w:val="00B050"/>
          <w:sz w:val="60"/>
          <w:szCs w:val="60"/>
          <w:lang w:val="en-GB"/>
        </w:rPr>
      </w:pPr>
      <w:r>
        <w:rPr>
          <w:rFonts w:ascii="Times New Roman" w:hAnsi="Times New Roman" w:cs="Times New Roman"/>
          <w:b/>
          <w:color w:val="00B050"/>
          <w:sz w:val="60"/>
          <w:szCs w:val="60"/>
          <w:lang w:val="en-GB"/>
        </w:rPr>
        <w:t>List of courses 2020/2021</w:t>
      </w:r>
    </w:p>
    <w:p w14:paraId="158699AF" w14:textId="2A1B11CC" w:rsidR="002F04E2" w:rsidRPr="002E4674" w:rsidRDefault="00690B78" w:rsidP="002E4674">
      <w:pPr>
        <w:spacing w:line="360" w:lineRule="auto"/>
        <w:jc w:val="both"/>
        <w:rPr>
          <w:rFonts w:ascii="Times New Roman" w:hAnsi="Times New Roman" w:cs="Times New Roman"/>
          <w:b/>
          <w:color w:val="00B050"/>
          <w:sz w:val="36"/>
          <w:szCs w:val="36"/>
          <w:lang w:val="en-GB"/>
        </w:rPr>
      </w:pPr>
      <w:r>
        <w:rPr>
          <w:rFonts w:ascii="Times New Roman" w:hAnsi="Times New Roman" w:cs="Times New Roman"/>
          <w:b/>
          <w:color w:val="00B050"/>
          <w:sz w:val="36"/>
          <w:szCs w:val="36"/>
          <w:lang w:val="en-GB"/>
        </w:rPr>
        <w:t>Winter</w:t>
      </w:r>
      <w:r w:rsidR="002F04E2" w:rsidRPr="002E4674">
        <w:rPr>
          <w:rFonts w:ascii="Times New Roman" w:hAnsi="Times New Roman" w:cs="Times New Roman"/>
          <w:b/>
          <w:color w:val="00B050"/>
          <w:sz w:val="36"/>
          <w:szCs w:val="36"/>
          <w:lang w:val="en-GB"/>
        </w:rPr>
        <w:t xml:space="preserve"> semester</w:t>
      </w:r>
    </w:p>
    <w:tbl>
      <w:tblPr>
        <w:tblStyle w:val="Mkatabulky"/>
        <w:tblW w:w="0" w:type="auto"/>
        <w:tblLook w:val="04A0" w:firstRow="1" w:lastRow="0" w:firstColumn="1" w:lastColumn="0" w:noHBand="0" w:noVBand="1"/>
      </w:tblPr>
      <w:tblGrid>
        <w:gridCol w:w="6516"/>
        <w:gridCol w:w="1559"/>
      </w:tblGrid>
      <w:tr w:rsidR="005807A3" w:rsidRPr="002E4674" w14:paraId="1ABBE3D9" w14:textId="77777777" w:rsidTr="0081721A">
        <w:tc>
          <w:tcPr>
            <w:tcW w:w="6516" w:type="dxa"/>
          </w:tcPr>
          <w:p w14:paraId="67C27CBA" w14:textId="77777777" w:rsidR="005807A3" w:rsidRPr="002E4674" w:rsidRDefault="005807A3" w:rsidP="002E4674">
            <w:pPr>
              <w:spacing w:line="360" w:lineRule="auto"/>
              <w:jc w:val="both"/>
              <w:rPr>
                <w:rFonts w:ascii="Times New Roman" w:hAnsi="Times New Roman" w:cs="Times New Roman"/>
                <w:b/>
                <w:sz w:val="32"/>
                <w:szCs w:val="32"/>
                <w:lang w:val="en-GB"/>
              </w:rPr>
            </w:pPr>
            <w:r w:rsidRPr="002E4674">
              <w:rPr>
                <w:rFonts w:ascii="Times New Roman" w:hAnsi="Times New Roman" w:cs="Times New Roman"/>
                <w:b/>
                <w:sz w:val="32"/>
                <w:szCs w:val="32"/>
                <w:lang w:val="en-GB"/>
              </w:rPr>
              <w:t>Name of the subject</w:t>
            </w:r>
          </w:p>
        </w:tc>
        <w:tc>
          <w:tcPr>
            <w:tcW w:w="1559" w:type="dxa"/>
          </w:tcPr>
          <w:p w14:paraId="2B37E794" w14:textId="77777777" w:rsidR="005807A3" w:rsidRPr="002E4674" w:rsidRDefault="005807A3" w:rsidP="002E4674">
            <w:pPr>
              <w:spacing w:line="360" w:lineRule="auto"/>
              <w:jc w:val="both"/>
              <w:rPr>
                <w:rFonts w:ascii="Times New Roman" w:hAnsi="Times New Roman" w:cs="Times New Roman"/>
                <w:b/>
                <w:sz w:val="32"/>
                <w:szCs w:val="32"/>
                <w:lang w:val="en-GB"/>
              </w:rPr>
            </w:pPr>
            <w:r w:rsidRPr="002E4674">
              <w:rPr>
                <w:rFonts w:ascii="Times New Roman" w:hAnsi="Times New Roman" w:cs="Times New Roman"/>
                <w:b/>
                <w:sz w:val="32"/>
                <w:szCs w:val="32"/>
                <w:lang w:val="en-GB"/>
              </w:rPr>
              <w:t>ECTS</w:t>
            </w:r>
          </w:p>
        </w:tc>
      </w:tr>
      <w:tr w:rsidR="005807A3" w:rsidRPr="002E4674" w14:paraId="616958AE" w14:textId="77777777" w:rsidTr="0081721A">
        <w:tc>
          <w:tcPr>
            <w:tcW w:w="6516" w:type="dxa"/>
          </w:tcPr>
          <w:p w14:paraId="3520AF75" w14:textId="17B802AC" w:rsidR="005807A3" w:rsidRPr="002E4674" w:rsidRDefault="00690B78" w:rsidP="002E4674">
            <w:pPr>
              <w:spacing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t>Cyber Security</w:t>
            </w:r>
          </w:p>
        </w:tc>
        <w:tc>
          <w:tcPr>
            <w:tcW w:w="1559" w:type="dxa"/>
          </w:tcPr>
          <w:p w14:paraId="41F7FB1D"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5807A3" w:rsidRPr="002E4674" w14:paraId="54DACAF4" w14:textId="77777777" w:rsidTr="0081721A">
        <w:tc>
          <w:tcPr>
            <w:tcW w:w="6516" w:type="dxa"/>
            <w:shd w:val="clear" w:color="auto" w:fill="auto"/>
          </w:tcPr>
          <w:p w14:paraId="217C008D" w14:textId="13C1A821"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F</w:t>
            </w:r>
            <w:r w:rsidR="00FB1406" w:rsidRPr="002E4674">
              <w:rPr>
                <w:rFonts w:ascii="Times New Roman" w:hAnsi="Times New Roman" w:cs="Times New Roman"/>
                <w:sz w:val="32"/>
                <w:szCs w:val="32"/>
                <w:lang w:val="en-GB"/>
              </w:rPr>
              <w:t>inanc</w:t>
            </w:r>
            <w:r w:rsidR="00690B78">
              <w:rPr>
                <w:rFonts w:ascii="Times New Roman" w:hAnsi="Times New Roman" w:cs="Times New Roman"/>
                <w:sz w:val="32"/>
                <w:szCs w:val="32"/>
                <w:lang w:val="en-GB"/>
              </w:rPr>
              <w:t>ial Management of Companies</w:t>
            </w:r>
          </w:p>
        </w:tc>
        <w:tc>
          <w:tcPr>
            <w:tcW w:w="1559" w:type="dxa"/>
          </w:tcPr>
          <w:p w14:paraId="2D2DE5EF"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5807A3" w:rsidRPr="002E4674" w14:paraId="1FB478B5" w14:textId="77777777" w:rsidTr="0081721A">
        <w:tc>
          <w:tcPr>
            <w:tcW w:w="6516" w:type="dxa"/>
            <w:shd w:val="clear" w:color="auto" w:fill="auto"/>
          </w:tcPr>
          <w:p w14:paraId="68A8D744"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Strategic Management of Organizations</w:t>
            </w:r>
          </w:p>
        </w:tc>
        <w:tc>
          <w:tcPr>
            <w:tcW w:w="1559" w:type="dxa"/>
          </w:tcPr>
          <w:p w14:paraId="305749BC"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5807A3" w:rsidRPr="002E4674" w14:paraId="27EB3968" w14:textId="77777777" w:rsidTr="0081721A">
        <w:tc>
          <w:tcPr>
            <w:tcW w:w="6516" w:type="dxa"/>
            <w:shd w:val="clear" w:color="auto" w:fill="auto"/>
          </w:tcPr>
          <w:p w14:paraId="69876F33" w14:textId="432C7A5E" w:rsidR="005807A3" w:rsidRPr="002E4674" w:rsidRDefault="00690B78" w:rsidP="00690B78">
            <w:pPr>
              <w:tabs>
                <w:tab w:val="left" w:pos="2610"/>
              </w:tabs>
              <w:spacing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t>European Union</w:t>
            </w:r>
          </w:p>
        </w:tc>
        <w:tc>
          <w:tcPr>
            <w:tcW w:w="1559" w:type="dxa"/>
          </w:tcPr>
          <w:p w14:paraId="0BC1E141"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5807A3" w:rsidRPr="002E4674" w14:paraId="5CBF68AA" w14:textId="77777777" w:rsidTr="0081721A">
        <w:tc>
          <w:tcPr>
            <w:tcW w:w="6516" w:type="dxa"/>
            <w:shd w:val="clear" w:color="auto" w:fill="auto"/>
          </w:tcPr>
          <w:p w14:paraId="06060681" w14:textId="133D804C" w:rsidR="005807A3" w:rsidRPr="002E4674" w:rsidRDefault="00690B78" w:rsidP="002E4674">
            <w:pPr>
              <w:spacing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t>International Law and Security</w:t>
            </w:r>
          </w:p>
        </w:tc>
        <w:tc>
          <w:tcPr>
            <w:tcW w:w="1559" w:type="dxa"/>
          </w:tcPr>
          <w:p w14:paraId="30342D6D"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bl>
    <w:p w14:paraId="0E975257" w14:textId="396F94FD" w:rsidR="0081721A" w:rsidRPr="002E4674" w:rsidRDefault="0081721A" w:rsidP="002E4674">
      <w:pPr>
        <w:spacing w:line="360" w:lineRule="auto"/>
        <w:jc w:val="both"/>
        <w:rPr>
          <w:rFonts w:ascii="Times New Roman" w:hAnsi="Times New Roman" w:cs="Times New Roman"/>
          <w:lang w:val="en-GB"/>
        </w:rPr>
      </w:pPr>
    </w:p>
    <w:p w14:paraId="5E3E86A1" w14:textId="77777777" w:rsidR="00A75248" w:rsidRPr="002E4674" w:rsidRDefault="00A75248" w:rsidP="002E4674">
      <w:pPr>
        <w:spacing w:line="360" w:lineRule="auto"/>
        <w:jc w:val="both"/>
        <w:rPr>
          <w:rFonts w:ascii="Times New Roman" w:hAnsi="Times New Roman" w:cs="Times New Roman"/>
          <w:b/>
          <w:sz w:val="32"/>
          <w:szCs w:val="32"/>
          <w:lang w:val="en-GB"/>
        </w:rPr>
      </w:pPr>
      <w:r w:rsidRPr="002E4674">
        <w:rPr>
          <w:rFonts w:ascii="Times New Roman" w:hAnsi="Times New Roman" w:cs="Times New Roman"/>
          <w:b/>
          <w:sz w:val="32"/>
          <w:szCs w:val="32"/>
          <w:lang w:val="en-GB"/>
        </w:rPr>
        <w:t>Maximum ECTS per semester: 30</w:t>
      </w:r>
    </w:p>
    <w:p w14:paraId="1AABA205" w14:textId="64B1F95D" w:rsidR="00FB1406" w:rsidRPr="00583324" w:rsidRDefault="00406091" w:rsidP="002E4674">
      <w:pPr>
        <w:spacing w:line="360" w:lineRule="auto"/>
        <w:jc w:val="both"/>
        <w:rPr>
          <w:rFonts w:ascii="Times New Roman" w:hAnsi="Times New Roman" w:cs="Times New Roman"/>
          <w:i/>
          <w:sz w:val="32"/>
          <w:szCs w:val="32"/>
          <w:lang w:val="en-GB"/>
        </w:rPr>
      </w:pPr>
      <w:r w:rsidRPr="002E4674">
        <w:rPr>
          <w:rFonts w:ascii="Times New Roman" w:hAnsi="Times New Roman" w:cs="Times New Roman"/>
          <w:i/>
          <w:sz w:val="32"/>
          <w:szCs w:val="32"/>
          <w:lang w:val="en-GB"/>
        </w:rPr>
        <w:t>Please note that courses offered by Ambis College are subject to change.</w:t>
      </w:r>
    </w:p>
    <w:p w14:paraId="457365CB" w14:textId="77777777" w:rsidR="00FB1406" w:rsidRPr="002E4674" w:rsidRDefault="00FB1406" w:rsidP="002E4674">
      <w:pPr>
        <w:spacing w:line="360" w:lineRule="auto"/>
        <w:jc w:val="both"/>
        <w:rPr>
          <w:rFonts w:ascii="Times New Roman" w:hAnsi="Times New Roman" w:cs="Times New Roman"/>
          <w:b/>
          <w:bCs/>
          <w:sz w:val="24"/>
          <w:szCs w:val="24"/>
          <w:lang w:val="en-GB" w:eastAsia="cs-CZ"/>
        </w:rPr>
      </w:pPr>
    </w:p>
    <w:p w14:paraId="7714FDA0" w14:textId="77777777" w:rsidR="00FB1406" w:rsidRPr="002E4674" w:rsidRDefault="00FB1406" w:rsidP="002E4674">
      <w:pPr>
        <w:spacing w:line="360" w:lineRule="auto"/>
        <w:jc w:val="both"/>
        <w:rPr>
          <w:rFonts w:ascii="Times New Roman" w:hAnsi="Times New Roman" w:cs="Times New Roman"/>
          <w:b/>
          <w:bCs/>
          <w:color w:val="00B050"/>
          <w:sz w:val="36"/>
          <w:szCs w:val="36"/>
          <w:lang w:val="en-GB" w:eastAsia="cs-CZ"/>
        </w:rPr>
      </w:pPr>
      <w:r w:rsidRPr="002E4674">
        <w:rPr>
          <w:rFonts w:ascii="Times New Roman" w:hAnsi="Times New Roman" w:cs="Times New Roman"/>
          <w:b/>
          <w:bCs/>
          <w:color w:val="00B050"/>
          <w:sz w:val="36"/>
          <w:szCs w:val="36"/>
          <w:lang w:val="en-GB" w:eastAsia="cs-CZ"/>
        </w:rPr>
        <w:t>CYBER SECURITY</w:t>
      </w:r>
    </w:p>
    <w:p w14:paraId="7B52DE01"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The aim of the subject is to acquire and further develop the knowledge of the ways of committing crimes related to the use of information and communication technologies and to be able to subdue these acts under the individual articles of criminal code. The course focuses on the characteristics of the process of law enforcement bodies, on the specifics of detecting and investigating cybercrime and on the international legal aspects of the cybercrime phenomenon. The course is designed with a focus on security and also allows the graduate to take adequate measures in the case of cyber attack within the organization.</w:t>
      </w:r>
    </w:p>
    <w:p w14:paraId="351BC85F" w14:textId="77777777" w:rsidR="00FB1406" w:rsidRPr="002E4674" w:rsidRDefault="00FB1406" w:rsidP="002E4674">
      <w:pPr>
        <w:spacing w:line="360" w:lineRule="auto"/>
        <w:jc w:val="both"/>
        <w:rPr>
          <w:rFonts w:ascii="Times New Roman" w:hAnsi="Times New Roman" w:cs="Times New Roman"/>
          <w:sz w:val="24"/>
          <w:szCs w:val="24"/>
          <w:lang w:val="en-GB" w:eastAsia="cs-CZ"/>
        </w:rPr>
      </w:pPr>
      <w:r w:rsidRPr="002E4674">
        <w:rPr>
          <w:rFonts w:ascii="Times New Roman" w:hAnsi="Times New Roman" w:cs="Times New Roman"/>
          <w:b/>
          <w:bCs/>
          <w:sz w:val="24"/>
          <w:szCs w:val="24"/>
          <w:lang w:val="en-GB" w:eastAsia="cs-CZ"/>
        </w:rPr>
        <w:lastRenderedPageBreak/>
        <w:t>Structure of the subject</w:t>
      </w:r>
      <w:r w:rsidRPr="002E4674">
        <w:rPr>
          <w:rFonts w:ascii="Times New Roman" w:hAnsi="Times New Roman" w:cs="Times New Roman"/>
          <w:sz w:val="24"/>
          <w:szCs w:val="24"/>
          <w:lang w:val="en-GB" w:eastAsia="cs-CZ"/>
        </w:rPr>
        <w:t>:</w:t>
      </w:r>
    </w:p>
    <w:p w14:paraId="05E2AFAB" w14:textId="77777777" w:rsidR="00FB1406" w:rsidRPr="002E4674" w:rsidRDefault="00FB1406" w:rsidP="002E4674">
      <w:pPr>
        <w:pStyle w:val="Odstavecseseznamem"/>
        <w:numPr>
          <w:ilvl w:val="0"/>
          <w:numId w:val="1"/>
        </w:numPr>
        <w:spacing w:after="0" w:line="360" w:lineRule="auto"/>
        <w:ind w:left="714" w:hanging="357"/>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 xml:space="preserve">Introduction to the cybercrime </w:t>
      </w:r>
    </w:p>
    <w:p w14:paraId="6479EDB7"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Legal norms regulating cyberspace</w:t>
      </w:r>
    </w:p>
    <w:p w14:paraId="34A160F8"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Legal basis of I</w:t>
      </w:r>
      <w:r w:rsidR="002F02FA" w:rsidRPr="002E4674">
        <w:rPr>
          <w:rFonts w:ascii="Times New Roman" w:hAnsi="Times New Roman" w:cs="Times New Roman"/>
          <w:sz w:val="24"/>
          <w:szCs w:val="24"/>
          <w:lang w:val="en-GB" w:eastAsia="cs-CZ"/>
        </w:rPr>
        <w:t>SP (Internet Service Provider) a</w:t>
      </w:r>
      <w:r w:rsidRPr="002E4674">
        <w:rPr>
          <w:rFonts w:ascii="Times New Roman" w:hAnsi="Times New Roman" w:cs="Times New Roman"/>
          <w:sz w:val="24"/>
          <w:szCs w:val="24"/>
          <w:lang w:val="en-GB" w:eastAsia="cs-CZ"/>
        </w:rPr>
        <w:t>ctivities</w:t>
      </w:r>
    </w:p>
    <w:p w14:paraId="2E11DB9E"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Personal data protection</w:t>
      </w:r>
    </w:p>
    <w:p w14:paraId="7E2307D9" w14:textId="77777777" w:rsidR="00FB1406" w:rsidRPr="002E4674" w:rsidRDefault="002F02FA"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Privacy a</w:t>
      </w:r>
      <w:r w:rsidR="00FB1406" w:rsidRPr="002E4674">
        <w:rPr>
          <w:rFonts w:ascii="Times New Roman" w:hAnsi="Times New Roman" w:cs="Times New Roman"/>
          <w:sz w:val="24"/>
          <w:szCs w:val="24"/>
          <w:lang w:val="en-GB" w:eastAsia="cs-CZ"/>
        </w:rPr>
        <w:t>n</w:t>
      </w:r>
      <w:r w:rsidRPr="002E4674">
        <w:rPr>
          <w:rFonts w:ascii="Times New Roman" w:hAnsi="Times New Roman" w:cs="Times New Roman"/>
          <w:sz w:val="24"/>
          <w:szCs w:val="24"/>
          <w:lang w:val="en-GB" w:eastAsia="cs-CZ"/>
        </w:rPr>
        <w:t>d</w:t>
      </w:r>
      <w:r w:rsidR="00FB1406" w:rsidRPr="002E4674">
        <w:rPr>
          <w:rFonts w:ascii="Times New Roman" w:hAnsi="Times New Roman" w:cs="Times New Roman"/>
          <w:sz w:val="24"/>
          <w:szCs w:val="24"/>
          <w:lang w:val="en-GB" w:eastAsia="cs-CZ"/>
        </w:rPr>
        <w:t xml:space="preserve"> security in IT, data protection on Internet </w:t>
      </w:r>
    </w:p>
    <w:p w14:paraId="20F10CAA"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Cyber attacks I.: protection of intellectual property, malware, Botnet</w:t>
      </w:r>
    </w:p>
    <w:p w14:paraId="5A7FA0E9"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 xml:space="preserve">Cyber attacks II.: </w:t>
      </w:r>
      <w:r w:rsidRPr="002E4674">
        <w:rPr>
          <w:rStyle w:val="tlid-translation"/>
          <w:rFonts w:ascii="Times New Roman" w:hAnsi="Times New Roman" w:cs="Times New Roman"/>
          <w:sz w:val="24"/>
          <w:szCs w:val="24"/>
          <w:lang w:val="en-GB"/>
        </w:rPr>
        <w:t>Social Engineering</w:t>
      </w:r>
      <w:r w:rsidRPr="002E4674">
        <w:rPr>
          <w:rFonts w:ascii="Times New Roman" w:hAnsi="Times New Roman" w:cs="Times New Roman"/>
          <w:sz w:val="24"/>
          <w:szCs w:val="24"/>
          <w:lang w:val="en-GB" w:eastAsia="cs-CZ"/>
        </w:rPr>
        <w:t>, hacking, Phishing, Pharming, Spam, Hoax</w:t>
      </w:r>
    </w:p>
    <w:p w14:paraId="6D4CEB99"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 xml:space="preserve">Cyber attacks III.: Ransomware, DoS, DDoS </w:t>
      </w:r>
    </w:p>
    <w:p w14:paraId="3AF74E6F"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 xml:space="preserve">Cyber attacks IV.: </w:t>
      </w:r>
      <w:r w:rsidRPr="002E4674">
        <w:rPr>
          <w:rStyle w:val="tlid-translation"/>
          <w:rFonts w:ascii="Times New Roman" w:hAnsi="Times New Roman" w:cs="Times New Roman"/>
          <w:sz w:val="24"/>
          <w:szCs w:val="24"/>
          <w:lang w:val="en-GB"/>
        </w:rPr>
        <w:t>Protection and abuse of children on the Internet</w:t>
      </w:r>
    </w:p>
    <w:p w14:paraId="3C88C9EC"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Social networks</w:t>
      </w:r>
    </w:p>
    <w:p w14:paraId="66B73527" w14:textId="77777777" w:rsidR="00FB1406" w:rsidRPr="002E4674" w:rsidRDefault="00FB1406" w:rsidP="002E4674">
      <w:pPr>
        <w:pStyle w:val="Odstavecseseznamem"/>
        <w:numPr>
          <w:ilvl w:val="0"/>
          <w:numId w:val="1"/>
        </w:numPr>
        <w:spacing w:after="0" w:line="360" w:lineRule="auto"/>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The activities of law enforcement forces in cyberspace</w:t>
      </w:r>
    </w:p>
    <w:p w14:paraId="683B37F5" w14:textId="674EEDD3" w:rsidR="00FB1406" w:rsidRDefault="00FB1406" w:rsidP="00690B78">
      <w:pPr>
        <w:pStyle w:val="Odstavecseseznamem"/>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 xml:space="preserve">The Cyber Security act, CERT/CSIRT </w:t>
      </w:r>
    </w:p>
    <w:p w14:paraId="790D14A3" w14:textId="05DDA116" w:rsidR="00690B78" w:rsidRPr="00690B78" w:rsidRDefault="00690B78" w:rsidP="00690B78">
      <w:pPr>
        <w:spacing w:after="0" w:line="360" w:lineRule="auto"/>
        <w:jc w:val="both"/>
        <w:rPr>
          <w:rFonts w:ascii="Times New Roman" w:hAnsi="Times New Roman" w:cs="Times New Roman"/>
          <w:sz w:val="24"/>
          <w:szCs w:val="24"/>
          <w:lang w:val="en-GB"/>
        </w:rPr>
      </w:pPr>
    </w:p>
    <w:p w14:paraId="42DE9EF3" w14:textId="77777777" w:rsidR="00FB1406" w:rsidRPr="002E4674" w:rsidRDefault="00FB1406" w:rsidP="002E4674">
      <w:pPr>
        <w:spacing w:line="360" w:lineRule="auto"/>
        <w:jc w:val="both"/>
        <w:rPr>
          <w:rFonts w:ascii="Times New Roman" w:hAnsi="Times New Roman" w:cs="Times New Roman"/>
          <w:b/>
          <w:sz w:val="36"/>
          <w:szCs w:val="36"/>
          <w:lang w:val="en-GB"/>
        </w:rPr>
      </w:pPr>
      <w:r w:rsidRPr="002E4674">
        <w:rPr>
          <w:rFonts w:ascii="Times New Roman" w:hAnsi="Times New Roman" w:cs="Times New Roman"/>
          <w:b/>
          <w:color w:val="00B050"/>
          <w:sz w:val="36"/>
          <w:szCs w:val="36"/>
          <w:lang w:val="en-GB"/>
        </w:rPr>
        <w:t>STRATEGIC MANAGEMENT OF ORGANIZATIONS</w:t>
      </w:r>
    </w:p>
    <w:p w14:paraId="7184AE29"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b/>
          <w:sz w:val="24"/>
          <w:szCs w:val="24"/>
          <w:lang w:val="en-GB"/>
        </w:rPr>
        <w:t>Subject goals:</w:t>
      </w:r>
      <w:r w:rsidRPr="002E4674">
        <w:rPr>
          <w:rFonts w:ascii="Times New Roman" w:hAnsi="Times New Roman" w:cs="Times New Roman"/>
          <w:sz w:val="24"/>
          <w:szCs w:val="24"/>
          <w:lang w:val="en-GB"/>
        </w:rPr>
        <w:t xml:space="preserve"> </w:t>
      </w:r>
    </w:p>
    <w:p w14:paraId="0A1A4B97"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Understanding the basis of strategic thinking and strategic decision. Special attention is devoted to methodological tools in relation to the systematic strategic analysis and modern approaches of strategic management and planning. The basic educational forms are lectures and seminars which suppose an active participation of students within all phases of an educational process. The integral part of education is solving of case studies, preparation of project studies and usage of brainstorming and conducted discussions. </w:t>
      </w:r>
    </w:p>
    <w:p w14:paraId="2DD29A87" w14:textId="77777777" w:rsidR="00FB1406" w:rsidRPr="002E4674" w:rsidRDefault="00FB1406" w:rsidP="002E4674">
      <w:pPr>
        <w:spacing w:line="360"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Educational outputs: </w:t>
      </w:r>
    </w:p>
    <w:p w14:paraId="037EE924"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Describe and explain process of strategic management. Ability to identify sources of competitive advantage of chosen firm. Identify, choose and combine tools of strategic analysis and synthesis. Ability to analyse organizational external and internal environment within global and local context. Ability to develop, compare and evaluate strategic alternatives. Ability to develop strategic plan on the basis of Balanced Scorecard. To discuss creation of unique customer value. Ability to interpret from pragmatic point of view implementation plan. Describe, explain and adapt chosen approaches theory of innovations. Explain and give reasons for shifts of entrepreneurial paradigm. Competence: Ability to implement the above knowledge </w:t>
      </w:r>
      <w:r w:rsidRPr="002E4674">
        <w:rPr>
          <w:rFonts w:ascii="Times New Roman" w:hAnsi="Times New Roman" w:cs="Times New Roman"/>
          <w:sz w:val="24"/>
          <w:szCs w:val="24"/>
          <w:lang w:val="en-GB"/>
        </w:rPr>
        <w:lastRenderedPageBreak/>
        <w:t xml:space="preserve">within practical situations. Ability to find, process and analyse information from various resources. Ability to develop new thoughts and ideas. Social responsibility competence. </w:t>
      </w:r>
    </w:p>
    <w:p w14:paraId="36C2B11E" w14:textId="77777777" w:rsidR="00FB1406" w:rsidRPr="002E4674" w:rsidRDefault="00FB1406" w:rsidP="002E4674">
      <w:pPr>
        <w:spacing w:line="360"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Structure of the subject:  </w:t>
      </w:r>
    </w:p>
    <w:p w14:paraId="661197B9"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System and strategic thinking</w:t>
      </w:r>
    </w:p>
    <w:p w14:paraId="4BF68D84"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Competitive advantage and creation of the unique customer value</w:t>
      </w:r>
    </w:p>
    <w:p w14:paraId="4C9FDDB7"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management process of organizations and explanation of the basic terms</w:t>
      </w:r>
    </w:p>
    <w:p w14:paraId="2C098A60"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analysis and chosen analytical tools</w:t>
      </w:r>
    </w:p>
    <w:p w14:paraId="050E5700"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decision: cognitive maps, strategic maps and decision analysis</w:t>
      </w:r>
    </w:p>
    <w:p w14:paraId="122C517A"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Implementation process of strategic plan and chosen analytical tools</w:t>
      </w:r>
    </w:p>
    <w:p w14:paraId="493E6AD2"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Managing organizational change and development</w:t>
      </w:r>
    </w:p>
    <w:p w14:paraId="7A94C849"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Role of organizational culture and its shaping by management and owners</w:t>
      </w:r>
    </w:p>
    <w:p w14:paraId="38D49C18"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Managerial system on basis of Balanced Scorecard</w:t>
      </w:r>
    </w:p>
    <w:p w14:paraId="4F751D0F"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Management of innovations, logic of value innovation, European innovation area and chosen models of global innovations</w:t>
      </w:r>
    </w:p>
    <w:p w14:paraId="5AE8A835"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CEO lecture: Actual entrepreneurial topics; International management</w:t>
      </w:r>
    </w:p>
    <w:p w14:paraId="2A89D857"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Shifts of entrepreneurial paradigm in relation to global financial and debt crisis and to global risks etc. </w:t>
      </w:r>
    </w:p>
    <w:p w14:paraId="053D4857" w14:textId="77777777" w:rsidR="00FB1406" w:rsidRPr="002E4674" w:rsidRDefault="00FB1406" w:rsidP="002E4674">
      <w:pPr>
        <w:spacing w:line="360" w:lineRule="auto"/>
        <w:jc w:val="both"/>
        <w:rPr>
          <w:rFonts w:ascii="Times New Roman" w:hAnsi="Times New Roman" w:cs="Times New Roman"/>
          <w:sz w:val="24"/>
          <w:szCs w:val="24"/>
          <w:lang w:val="en-GB"/>
        </w:rPr>
      </w:pPr>
    </w:p>
    <w:p w14:paraId="1B0CF711" w14:textId="104EDB4C" w:rsidR="00FB1406" w:rsidRPr="002E4674" w:rsidRDefault="00FB1406" w:rsidP="002E4674">
      <w:pPr>
        <w:spacing w:line="360" w:lineRule="auto"/>
        <w:jc w:val="both"/>
        <w:rPr>
          <w:rFonts w:ascii="Times New Roman" w:hAnsi="Times New Roman" w:cs="Times New Roman"/>
          <w:b/>
          <w:color w:val="00B050"/>
          <w:sz w:val="36"/>
          <w:szCs w:val="36"/>
          <w:lang w:val="en-GB"/>
        </w:rPr>
      </w:pPr>
      <w:r w:rsidRPr="002E4674">
        <w:rPr>
          <w:rFonts w:ascii="Times New Roman" w:hAnsi="Times New Roman" w:cs="Times New Roman"/>
          <w:b/>
          <w:color w:val="00B050"/>
          <w:sz w:val="36"/>
          <w:szCs w:val="36"/>
          <w:lang w:val="en-GB"/>
        </w:rPr>
        <w:t>FINANC</w:t>
      </w:r>
      <w:r w:rsidR="00690B78">
        <w:rPr>
          <w:rFonts w:ascii="Times New Roman" w:hAnsi="Times New Roman" w:cs="Times New Roman"/>
          <w:b/>
          <w:color w:val="00B050"/>
          <w:sz w:val="36"/>
          <w:szCs w:val="36"/>
          <w:lang w:val="en-GB"/>
        </w:rPr>
        <w:t>IAL MANAGEMENT OF COMPANIES</w:t>
      </w:r>
    </w:p>
    <w:p w14:paraId="5B6F0943" w14:textId="77777777" w:rsidR="00232D8E" w:rsidRPr="002E4674" w:rsidRDefault="00232D8E" w:rsidP="002E4674">
      <w:pPr>
        <w:spacing w:after="0"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Subjects within each learning parts are designed to be sequential from operational to strategic, encouraging the progressive development of knowledge, techniques and skills. </w:t>
      </w:r>
    </w:p>
    <w:p w14:paraId="41F0B067" w14:textId="409DFEAB" w:rsidR="002E4674" w:rsidRPr="00E5740F" w:rsidRDefault="00232D8E" w:rsidP="00E5740F">
      <w:pPr>
        <w:spacing w:after="0"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Building on important concepts in strategic management, this paper develops tools and techniques for identifying key types of competitive environments.</w:t>
      </w:r>
    </w:p>
    <w:p w14:paraId="49AC2EFE" w14:textId="77777777" w:rsidR="00232D8E" w:rsidRPr="002E4674" w:rsidRDefault="00FB1406" w:rsidP="002E4674">
      <w:pPr>
        <w:spacing w:line="360"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Structure of the subject:</w:t>
      </w:r>
    </w:p>
    <w:p w14:paraId="6D939C5D"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An overview of financial management: </w:t>
      </w:r>
      <w:r w:rsidR="00FB1406" w:rsidRPr="002E4674">
        <w:rPr>
          <w:rFonts w:ascii="Times New Roman" w:hAnsi="Times New Roman" w:cs="Times New Roman"/>
          <w:sz w:val="24"/>
          <w:szCs w:val="24"/>
          <w:lang w:val="en-GB"/>
        </w:rPr>
        <w:t>Introduction to Financial Management</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The Dynamic Financial Environment of a Business Entity</w:t>
      </w:r>
    </w:p>
    <w:p w14:paraId="52E290AC"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Valuation and the cost of capital: </w:t>
      </w:r>
      <w:r w:rsidR="00FB1406" w:rsidRPr="002E4674">
        <w:rPr>
          <w:rFonts w:ascii="Times New Roman" w:hAnsi="Times New Roman" w:cs="Times New Roman"/>
          <w:sz w:val="24"/>
          <w:szCs w:val="24"/>
          <w:lang w:val="en-GB"/>
        </w:rPr>
        <w:t>Time Value of Money</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Net Present Value, Internal Rate of Return</w:t>
      </w:r>
    </w:p>
    <w:p w14:paraId="58D4FE1C"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Capital investment decisions: </w:t>
      </w:r>
      <w:r w:rsidR="00FB1406" w:rsidRPr="002E4674">
        <w:rPr>
          <w:rFonts w:ascii="Times New Roman" w:hAnsi="Times New Roman" w:cs="Times New Roman"/>
          <w:sz w:val="24"/>
          <w:szCs w:val="24"/>
          <w:lang w:val="en-GB"/>
        </w:rPr>
        <w:t>Break-even Analysis, Cost and Price Determination and Calculations</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Capital Budgeting Techniques</w:t>
      </w:r>
    </w:p>
    <w:p w14:paraId="7E255A06"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lastRenderedPageBreak/>
        <w:t xml:space="preserve">Capital structure: </w:t>
      </w:r>
      <w:r w:rsidR="00FB1406" w:rsidRPr="002E4674">
        <w:rPr>
          <w:rFonts w:ascii="Times New Roman" w:hAnsi="Times New Roman" w:cs="Times New Roman"/>
          <w:sz w:val="24"/>
          <w:szCs w:val="24"/>
          <w:lang w:val="en-GB"/>
        </w:rPr>
        <w:t>Financial Statements Ana</w:t>
      </w:r>
      <w:r w:rsidRPr="002E4674">
        <w:rPr>
          <w:rFonts w:ascii="Times New Roman" w:hAnsi="Times New Roman" w:cs="Times New Roman"/>
          <w:sz w:val="24"/>
          <w:szCs w:val="24"/>
          <w:lang w:val="en-GB"/>
        </w:rPr>
        <w:t xml:space="preserve">lysis, financial ratio analysis; </w:t>
      </w:r>
      <w:r w:rsidR="00FB1406" w:rsidRPr="002E4674">
        <w:rPr>
          <w:rFonts w:ascii="Times New Roman" w:hAnsi="Times New Roman" w:cs="Times New Roman"/>
          <w:sz w:val="24"/>
          <w:szCs w:val="24"/>
          <w:lang w:val="en-GB"/>
        </w:rPr>
        <w:t>Financial Leverage</w:t>
      </w:r>
    </w:p>
    <w:p w14:paraId="79FBA0EC"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Tools for financial analysis and planning: </w:t>
      </w:r>
      <w:r w:rsidR="00FB1406" w:rsidRPr="002E4674">
        <w:rPr>
          <w:rFonts w:ascii="Times New Roman" w:hAnsi="Times New Roman" w:cs="Times New Roman"/>
          <w:sz w:val="24"/>
          <w:szCs w:val="24"/>
          <w:lang w:val="en-GB"/>
        </w:rPr>
        <w:t>Financial Analysis</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Financial Planning of an Enterprise</w:t>
      </w:r>
    </w:p>
    <w:p w14:paraId="45596A9B"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Working capital management: </w:t>
      </w:r>
      <w:r w:rsidR="00FB1406" w:rsidRPr="002E4674">
        <w:rPr>
          <w:rFonts w:ascii="Times New Roman" w:hAnsi="Times New Roman" w:cs="Times New Roman"/>
          <w:sz w:val="24"/>
          <w:szCs w:val="24"/>
          <w:lang w:val="en-GB"/>
        </w:rPr>
        <w:t>Working Capital Policy</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Inventory management</w:t>
      </w:r>
    </w:p>
    <w:p w14:paraId="52D2B763" w14:textId="6FBF7814" w:rsidR="00E1570E" w:rsidRDefault="00E1570E" w:rsidP="002E4674">
      <w:pPr>
        <w:spacing w:line="360" w:lineRule="auto"/>
        <w:jc w:val="both"/>
        <w:rPr>
          <w:rFonts w:ascii="Times New Roman" w:hAnsi="Times New Roman" w:cs="Times New Roman"/>
          <w:b/>
          <w:bCs/>
          <w:color w:val="00B050"/>
          <w:sz w:val="36"/>
          <w:szCs w:val="27"/>
          <w:lang w:val="en-GB"/>
        </w:rPr>
      </w:pPr>
    </w:p>
    <w:p w14:paraId="1B9D5578" w14:textId="7C4DE18C" w:rsidR="009A0EDA" w:rsidRPr="002E4674" w:rsidRDefault="009A0EDA" w:rsidP="002E4674">
      <w:pPr>
        <w:spacing w:line="360" w:lineRule="auto"/>
        <w:jc w:val="both"/>
        <w:rPr>
          <w:rFonts w:ascii="Times New Roman" w:hAnsi="Times New Roman" w:cs="Times New Roman"/>
          <w:b/>
          <w:bCs/>
          <w:color w:val="00B050"/>
          <w:sz w:val="36"/>
          <w:szCs w:val="27"/>
          <w:lang w:val="en-GB"/>
        </w:rPr>
      </w:pPr>
      <w:r w:rsidRPr="002E4674">
        <w:rPr>
          <w:rFonts w:ascii="Times New Roman" w:hAnsi="Times New Roman" w:cs="Times New Roman"/>
          <w:b/>
          <w:bCs/>
          <w:color w:val="00B050"/>
          <w:sz w:val="36"/>
          <w:szCs w:val="27"/>
          <w:lang w:val="en-GB"/>
        </w:rPr>
        <w:t>EUROPEAN UNION</w:t>
      </w:r>
    </w:p>
    <w:p w14:paraId="7DE4A44C" w14:textId="77777777" w:rsidR="009A0EDA" w:rsidRPr="002E4674" w:rsidRDefault="009A0EDA" w:rsidP="002E4674">
      <w:pPr>
        <w:spacing w:line="360" w:lineRule="auto"/>
        <w:jc w:val="both"/>
        <w:rPr>
          <w:rFonts w:ascii="Times New Roman" w:hAnsi="Times New Roman" w:cs="Times New Roman"/>
          <w:b/>
          <w:bCs/>
          <w:color w:val="000000" w:themeColor="text1"/>
          <w:sz w:val="24"/>
          <w:szCs w:val="27"/>
          <w:lang w:val="en-GB"/>
        </w:rPr>
      </w:pPr>
      <w:r w:rsidRPr="002E4674">
        <w:rPr>
          <w:rFonts w:ascii="Times New Roman" w:hAnsi="Times New Roman" w:cs="Times New Roman"/>
          <w:b/>
          <w:bCs/>
          <w:color w:val="000000" w:themeColor="text1"/>
          <w:sz w:val="24"/>
          <w:szCs w:val="27"/>
          <w:lang w:val="en-GB"/>
        </w:rPr>
        <w:t>Evaluation methods:</w:t>
      </w:r>
    </w:p>
    <w:p w14:paraId="477FF14B" w14:textId="77777777" w:rsidR="009A0EDA" w:rsidRPr="002E4674" w:rsidRDefault="009A0EDA" w:rsidP="002E4674">
      <w:pPr>
        <w:spacing w:line="360" w:lineRule="auto"/>
        <w:jc w:val="both"/>
        <w:rPr>
          <w:rFonts w:ascii="Times New Roman" w:hAnsi="Times New Roman" w:cs="Times New Roman"/>
          <w:bCs/>
          <w:color w:val="000000" w:themeColor="text1"/>
          <w:sz w:val="24"/>
          <w:szCs w:val="27"/>
          <w:lang w:val="en-GB"/>
        </w:rPr>
      </w:pPr>
      <w:r w:rsidRPr="002E4674">
        <w:rPr>
          <w:rFonts w:ascii="Times New Roman" w:hAnsi="Times New Roman" w:cs="Times New Roman"/>
          <w:bCs/>
          <w:color w:val="000000" w:themeColor="text1"/>
          <w:sz w:val="24"/>
          <w:szCs w:val="27"/>
          <w:lang w:val="en-GB"/>
        </w:rPr>
        <w:t>A credited written test. Participation in at least 50 % of lectures. Oral presentation (ca. 15 minutes) at the final class.</w:t>
      </w:r>
    </w:p>
    <w:p w14:paraId="1258A37D" w14:textId="77777777" w:rsidR="009A0EDA" w:rsidRPr="002E4674" w:rsidRDefault="009A0EDA" w:rsidP="002E4674">
      <w:pPr>
        <w:spacing w:line="360" w:lineRule="auto"/>
        <w:jc w:val="both"/>
        <w:rPr>
          <w:rFonts w:ascii="Times New Roman" w:hAnsi="Times New Roman" w:cs="Times New Roman"/>
          <w:b/>
          <w:bCs/>
          <w:color w:val="000000" w:themeColor="text1"/>
          <w:sz w:val="24"/>
          <w:szCs w:val="27"/>
          <w:lang w:val="en-GB"/>
        </w:rPr>
      </w:pPr>
      <w:r w:rsidRPr="002E4674">
        <w:rPr>
          <w:rFonts w:ascii="Times New Roman" w:hAnsi="Times New Roman" w:cs="Times New Roman"/>
          <w:b/>
          <w:bCs/>
          <w:color w:val="000000" w:themeColor="text1"/>
          <w:sz w:val="24"/>
          <w:szCs w:val="27"/>
          <w:lang w:val="en-GB"/>
        </w:rPr>
        <w:t>Course objectives:</w:t>
      </w:r>
    </w:p>
    <w:p w14:paraId="6D84B2B2" w14:textId="77777777" w:rsidR="009A0EDA" w:rsidRPr="006B7093" w:rsidRDefault="009A0EDA" w:rsidP="002E4674">
      <w:pPr>
        <w:spacing w:after="0" w:line="360" w:lineRule="auto"/>
        <w:jc w:val="both"/>
        <w:rPr>
          <w:rFonts w:ascii="Times New Roman" w:hAnsi="Times New Roman" w:cs="Times New Roman"/>
          <w:color w:val="000000" w:themeColor="text1"/>
          <w:sz w:val="24"/>
          <w:szCs w:val="20"/>
          <w:lang w:val="en-GB" w:eastAsia="cs-CZ"/>
        </w:rPr>
      </w:pPr>
      <w:r w:rsidRPr="006B7093">
        <w:rPr>
          <w:rFonts w:ascii="Times New Roman" w:hAnsi="Times New Roman" w:cs="Times New Roman"/>
          <w:color w:val="000000" w:themeColor="text1"/>
          <w:sz w:val="24"/>
          <w:szCs w:val="20"/>
          <w:lang w:val="en-GB" w:eastAsia="cs-CZ"/>
        </w:rPr>
        <w:t>The course aims to provide an overview of the historical development as well as the current practice of the European Union institutions. First and foremost, the most important selected theoretical approaches to European integration will be discussed in the context of the development of European Community since the 1950s. Consequently, the Union’s contractual structure and an analysis of the EU institutions under the Treaty of Lisbon will be debated. In addition, other components and agencies of the EU institutional structure will be properly explained. In the course students will be provided with an elementary terminology and topics related to the discussion of the current state of the EU. The course enables to understand and grasp the mechanisms of functioning of the Union, its institutional arrangement and basic competencies, as well as their subsidiary relation to the political institutions at the national level.</w:t>
      </w:r>
    </w:p>
    <w:p w14:paraId="16C85106" w14:textId="77777777" w:rsidR="009A0EDA" w:rsidRPr="006B7093" w:rsidRDefault="009A0EDA" w:rsidP="002E4674">
      <w:pPr>
        <w:spacing w:after="0" w:line="360" w:lineRule="auto"/>
        <w:jc w:val="both"/>
        <w:rPr>
          <w:rFonts w:ascii="Times New Roman" w:hAnsi="Times New Roman" w:cs="Times New Roman"/>
          <w:b/>
          <w:color w:val="000000" w:themeColor="text1"/>
          <w:sz w:val="24"/>
          <w:szCs w:val="24"/>
          <w:lang w:val="en-GB" w:eastAsia="cs-CZ"/>
        </w:rPr>
      </w:pPr>
      <w:r w:rsidRPr="006B7093">
        <w:rPr>
          <w:rFonts w:ascii="Times New Roman" w:hAnsi="Times New Roman" w:cs="Times New Roman"/>
          <w:b/>
          <w:color w:val="000000" w:themeColor="text1"/>
          <w:sz w:val="24"/>
          <w:szCs w:val="24"/>
          <w:lang w:val="en-GB" w:eastAsia="cs-CZ"/>
        </w:rPr>
        <w:t>Learning outcomes</w:t>
      </w:r>
    </w:p>
    <w:p w14:paraId="1DD91E7C" w14:textId="77777777" w:rsidR="009A0EDA" w:rsidRPr="006B7093" w:rsidRDefault="009A0EDA" w:rsidP="002E4674">
      <w:pPr>
        <w:spacing w:after="0" w:line="360" w:lineRule="auto"/>
        <w:jc w:val="both"/>
        <w:rPr>
          <w:rFonts w:ascii="Times New Roman" w:hAnsi="Times New Roman" w:cs="Times New Roman"/>
          <w:color w:val="000000" w:themeColor="text1"/>
          <w:sz w:val="24"/>
          <w:szCs w:val="24"/>
          <w:lang w:val="en-GB" w:eastAsia="cs-CZ"/>
        </w:rPr>
      </w:pPr>
      <w:r w:rsidRPr="006B7093">
        <w:rPr>
          <w:rFonts w:ascii="Times New Roman" w:hAnsi="Times New Roman" w:cs="Times New Roman"/>
          <w:color w:val="000000" w:themeColor="text1"/>
          <w:sz w:val="24"/>
          <w:szCs w:val="24"/>
          <w:lang w:val="en-GB" w:eastAsia="cs-CZ"/>
        </w:rPr>
        <w:t>After completing the course a student is able to explain the mechanisms and implications of the European integration process, as well as to understand the development and functioning of the main institutions of the Union and to apply in practice the EU citizens’ rights. Furthermore, a student knows the basic sources of primary and secondary EU law and is able to describe the main reason and functioning of the EU decision-making mechanisms and processes.</w:t>
      </w:r>
    </w:p>
    <w:p w14:paraId="2D734394" w14:textId="77777777" w:rsidR="009A0EDA" w:rsidRPr="006B7093" w:rsidRDefault="009A0EDA" w:rsidP="002E4674">
      <w:pPr>
        <w:spacing w:after="0" w:line="360" w:lineRule="auto"/>
        <w:jc w:val="both"/>
        <w:rPr>
          <w:rFonts w:ascii="Times New Roman" w:hAnsi="Times New Roman" w:cs="Times New Roman"/>
          <w:b/>
          <w:sz w:val="24"/>
          <w:szCs w:val="24"/>
        </w:rPr>
      </w:pPr>
      <w:r w:rsidRPr="006B7093">
        <w:rPr>
          <w:rFonts w:ascii="Times New Roman" w:hAnsi="Times New Roman" w:cs="Times New Roman"/>
          <w:b/>
          <w:sz w:val="24"/>
          <w:szCs w:val="24"/>
        </w:rPr>
        <w:t>Structure of the subject:</w:t>
      </w:r>
    </w:p>
    <w:p w14:paraId="39F45803"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integration and its main agents</w:t>
      </w:r>
    </w:p>
    <w:p w14:paraId="6DE13D5C"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lastRenderedPageBreak/>
        <w:t>European integration and its development</w:t>
      </w:r>
    </w:p>
    <w:p w14:paraId="74FBDD31"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Legal personality of the Union and supranationality</w:t>
      </w:r>
    </w:p>
    <w:p w14:paraId="7D619ADB"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The main EU institutions: an overview</w:t>
      </w:r>
    </w:p>
    <w:p w14:paraId="247EBFB7"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Commission, European Parliament</w:t>
      </w:r>
    </w:p>
    <w:p w14:paraId="2D8DA892"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Elections to the European Parliament</w:t>
      </w:r>
    </w:p>
    <w:p w14:paraId="2E88C1C1"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the European Council, the Council of the European Union and the Council of Europe</w:t>
      </w:r>
    </w:p>
    <w:p w14:paraId="4F7DE559"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 xml:space="preserve"> the Court of Justice of the EU, the European Ombudsman, European Public Prosecutor's Office (EPPO)</w:t>
      </w:r>
    </w:p>
    <w:p w14:paraId="2BD4782D"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the Committee of the Regions, the EU advisory bodies and the EU agencies</w:t>
      </w:r>
    </w:p>
    <w:p w14:paraId="11131EF5"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 policies</w:t>
      </w:r>
    </w:p>
    <w:p w14:paraId="259750DB"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Future of the EU</w:t>
      </w:r>
    </w:p>
    <w:p w14:paraId="3905AFB6"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Students’ presentations &amp; debate</w:t>
      </w:r>
    </w:p>
    <w:p w14:paraId="2A329DE7" w14:textId="77777777" w:rsidR="009A0EDA" w:rsidRPr="006B7093" w:rsidRDefault="009A0EDA" w:rsidP="006B7093">
      <w:pPr>
        <w:spacing w:after="0" w:line="360" w:lineRule="auto"/>
        <w:jc w:val="both"/>
        <w:rPr>
          <w:rFonts w:ascii="Times New Roman" w:eastAsia="MS Mincho" w:hAnsi="Times New Roman" w:cs="Times New Roman"/>
          <w:b/>
          <w:color w:val="000000" w:themeColor="text1"/>
          <w:sz w:val="24"/>
          <w:szCs w:val="24"/>
          <w:lang w:val="en-GB"/>
        </w:rPr>
      </w:pPr>
      <w:r w:rsidRPr="006B7093">
        <w:rPr>
          <w:rFonts w:ascii="Times New Roman" w:eastAsia="MS Mincho" w:hAnsi="Times New Roman" w:cs="Times New Roman"/>
          <w:b/>
          <w:color w:val="000000" w:themeColor="text1"/>
          <w:sz w:val="24"/>
          <w:szCs w:val="24"/>
          <w:lang w:val="en-GB"/>
        </w:rPr>
        <w:t>Literature</w:t>
      </w:r>
    </w:p>
    <w:p w14:paraId="72E07703" w14:textId="77777777" w:rsidR="009A0EDA" w:rsidRPr="006B7093" w:rsidRDefault="009A0EDA" w:rsidP="006B7093">
      <w:pPr>
        <w:spacing w:after="0" w:line="360" w:lineRule="auto"/>
        <w:jc w:val="both"/>
        <w:rPr>
          <w:rFonts w:ascii="Times New Roman" w:hAnsi="Times New Roman" w:cs="Times New Roman"/>
          <w:color w:val="000000" w:themeColor="text1"/>
          <w:sz w:val="24"/>
          <w:szCs w:val="24"/>
          <w:lang w:val="en-GB"/>
        </w:rPr>
      </w:pPr>
      <w:r w:rsidRPr="006B7093">
        <w:rPr>
          <w:rFonts w:ascii="Times New Roman" w:hAnsi="Times New Roman" w:cs="Times New Roman"/>
          <w:color w:val="000000" w:themeColor="text1"/>
          <w:sz w:val="24"/>
          <w:szCs w:val="24"/>
          <w:lang w:val="en-GB"/>
        </w:rPr>
        <w:t>Mc</w:t>
      </w:r>
      <w:r w:rsidRPr="006B7093">
        <w:rPr>
          <w:rFonts w:ascii="Times New Roman" w:hAnsi="Times New Roman" w:cs="Times New Roman"/>
          <w:caps/>
          <w:color w:val="000000" w:themeColor="text1"/>
          <w:sz w:val="24"/>
          <w:szCs w:val="24"/>
          <w:lang w:val="en-GB"/>
        </w:rPr>
        <w:t>Cormick</w:t>
      </w:r>
      <w:r w:rsidRPr="006B7093">
        <w:rPr>
          <w:rFonts w:ascii="Times New Roman" w:hAnsi="Times New Roman" w:cs="Times New Roman"/>
          <w:color w:val="000000" w:themeColor="text1"/>
          <w:sz w:val="24"/>
          <w:szCs w:val="24"/>
          <w:lang w:val="en-GB"/>
        </w:rPr>
        <w:t xml:space="preserve">, John: </w:t>
      </w:r>
      <w:r w:rsidRPr="006B7093">
        <w:rPr>
          <w:rFonts w:ascii="Times New Roman" w:hAnsi="Times New Roman" w:cs="Times New Roman"/>
          <w:i/>
          <w:color w:val="000000" w:themeColor="text1"/>
          <w:sz w:val="24"/>
          <w:szCs w:val="24"/>
          <w:lang w:val="en-GB"/>
        </w:rPr>
        <w:t>Understanding the European Union: A concise introduction</w:t>
      </w:r>
      <w:r w:rsidRPr="006B7093">
        <w:rPr>
          <w:rFonts w:ascii="Times New Roman" w:hAnsi="Times New Roman" w:cs="Times New Roman"/>
          <w:color w:val="000000" w:themeColor="text1"/>
          <w:sz w:val="24"/>
          <w:szCs w:val="24"/>
          <w:lang w:val="en-GB"/>
        </w:rPr>
        <w:t>. 7</w:t>
      </w:r>
      <w:r w:rsidRPr="006B7093">
        <w:rPr>
          <w:rFonts w:ascii="Times New Roman" w:hAnsi="Times New Roman" w:cs="Times New Roman"/>
          <w:color w:val="000000" w:themeColor="text1"/>
          <w:sz w:val="24"/>
          <w:szCs w:val="24"/>
          <w:vertAlign w:val="superscript"/>
          <w:lang w:val="en-GB"/>
        </w:rPr>
        <w:t>th</w:t>
      </w:r>
      <w:r w:rsidRPr="006B7093">
        <w:rPr>
          <w:rFonts w:ascii="Times New Roman" w:hAnsi="Times New Roman" w:cs="Times New Roman"/>
          <w:color w:val="000000" w:themeColor="text1"/>
          <w:sz w:val="24"/>
          <w:szCs w:val="24"/>
          <w:lang w:val="en-GB"/>
        </w:rPr>
        <w:t xml:space="preserve"> ed. London: Palgrave, 2017. 978-1-137-60775-1.</w:t>
      </w:r>
    </w:p>
    <w:p w14:paraId="2842B4F6" w14:textId="77777777" w:rsidR="009A0EDA" w:rsidRPr="006B7093" w:rsidRDefault="009A0EDA" w:rsidP="006B7093">
      <w:pPr>
        <w:spacing w:after="0" w:line="360" w:lineRule="auto"/>
        <w:jc w:val="both"/>
        <w:rPr>
          <w:rFonts w:ascii="Times New Roman" w:hAnsi="Times New Roman" w:cs="Times New Roman"/>
          <w:color w:val="000000" w:themeColor="text1"/>
          <w:sz w:val="24"/>
          <w:szCs w:val="24"/>
          <w:lang w:val="en-GB"/>
        </w:rPr>
      </w:pPr>
      <w:r w:rsidRPr="006B7093">
        <w:rPr>
          <w:rFonts w:ascii="Times New Roman" w:hAnsi="Times New Roman" w:cs="Times New Roman"/>
          <w:color w:val="000000" w:themeColor="text1"/>
          <w:sz w:val="24"/>
          <w:szCs w:val="24"/>
          <w:lang w:val="en-GB"/>
        </w:rPr>
        <w:t xml:space="preserve">CHALMERS, Damian; Anthony ARNULL: </w:t>
      </w:r>
      <w:r w:rsidRPr="006B7093">
        <w:rPr>
          <w:rFonts w:ascii="Times New Roman" w:hAnsi="Times New Roman" w:cs="Times New Roman"/>
          <w:i/>
          <w:color w:val="000000" w:themeColor="text1"/>
          <w:sz w:val="24"/>
          <w:szCs w:val="24"/>
          <w:lang w:val="en-GB"/>
        </w:rPr>
        <w:t>The Oxford handbook of European Union law</w:t>
      </w:r>
      <w:r w:rsidRPr="006B7093">
        <w:rPr>
          <w:rFonts w:ascii="Times New Roman" w:hAnsi="Times New Roman" w:cs="Times New Roman"/>
          <w:color w:val="000000" w:themeColor="text1"/>
          <w:sz w:val="24"/>
          <w:szCs w:val="24"/>
          <w:lang w:val="en-GB"/>
        </w:rPr>
        <w:t>. Oxford: Oxford University Press, 2015. ISBN 978-0-19-967264-6.</w:t>
      </w:r>
    </w:p>
    <w:p w14:paraId="22251969" w14:textId="77777777" w:rsidR="009A0EDA" w:rsidRPr="006B7093" w:rsidRDefault="009A0EDA" w:rsidP="006B7093">
      <w:pPr>
        <w:spacing w:after="0" w:line="360" w:lineRule="auto"/>
        <w:jc w:val="both"/>
        <w:rPr>
          <w:rFonts w:ascii="Times New Roman" w:hAnsi="Times New Roman" w:cs="Times New Roman"/>
          <w:color w:val="000000" w:themeColor="text1"/>
          <w:sz w:val="24"/>
          <w:szCs w:val="24"/>
          <w:lang w:val="en-GB"/>
        </w:rPr>
      </w:pPr>
      <w:r w:rsidRPr="006B7093">
        <w:rPr>
          <w:rFonts w:ascii="Times New Roman" w:hAnsi="Times New Roman" w:cs="Times New Roman"/>
          <w:color w:val="000000" w:themeColor="text1"/>
          <w:sz w:val="24"/>
          <w:szCs w:val="24"/>
          <w:lang w:val="en-GB"/>
        </w:rPr>
        <w:t xml:space="preserve">BARNARD, Catherine; Steve PEERS: </w:t>
      </w:r>
      <w:r w:rsidRPr="006B7093">
        <w:rPr>
          <w:rFonts w:ascii="Times New Roman" w:hAnsi="Times New Roman" w:cs="Times New Roman"/>
          <w:i/>
          <w:color w:val="000000" w:themeColor="text1"/>
          <w:sz w:val="24"/>
          <w:szCs w:val="24"/>
          <w:lang w:val="en-GB"/>
        </w:rPr>
        <w:t>European union law</w:t>
      </w:r>
      <w:r w:rsidRPr="006B7093">
        <w:rPr>
          <w:rFonts w:ascii="Times New Roman" w:hAnsi="Times New Roman" w:cs="Times New Roman"/>
          <w:color w:val="000000" w:themeColor="text1"/>
          <w:sz w:val="24"/>
          <w:szCs w:val="24"/>
          <w:lang w:val="en-GB"/>
        </w:rPr>
        <w:t>. 2</w:t>
      </w:r>
      <w:r w:rsidRPr="006B7093">
        <w:rPr>
          <w:rFonts w:ascii="Times New Roman" w:hAnsi="Times New Roman" w:cs="Times New Roman"/>
          <w:color w:val="000000" w:themeColor="text1"/>
          <w:sz w:val="24"/>
          <w:szCs w:val="24"/>
          <w:vertAlign w:val="superscript"/>
          <w:lang w:val="en-GB"/>
        </w:rPr>
        <w:t>nd</w:t>
      </w:r>
      <w:r w:rsidRPr="006B7093">
        <w:rPr>
          <w:rFonts w:ascii="Times New Roman" w:hAnsi="Times New Roman" w:cs="Times New Roman"/>
          <w:color w:val="000000" w:themeColor="text1"/>
          <w:sz w:val="24"/>
          <w:szCs w:val="24"/>
          <w:lang w:val="en-GB"/>
        </w:rPr>
        <w:t xml:space="preserve"> ed. New York, NY: Oxford University Press, 2017. ISBN 978-0-19-878913-0.</w:t>
      </w:r>
    </w:p>
    <w:p w14:paraId="044C9509" w14:textId="77777777" w:rsidR="009A0EDA" w:rsidRPr="006B7093" w:rsidRDefault="009A0EDA" w:rsidP="006B7093">
      <w:pPr>
        <w:spacing w:after="0" w:line="360" w:lineRule="auto"/>
        <w:jc w:val="both"/>
        <w:rPr>
          <w:rFonts w:ascii="Times New Roman" w:hAnsi="Times New Roman" w:cs="Times New Roman"/>
          <w:color w:val="000000" w:themeColor="text1"/>
          <w:sz w:val="24"/>
          <w:szCs w:val="24"/>
          <w:lang w:val="en-GB"/>
        </w:rPr>
      </w:pPr>
      <w:r w:rsidRPr="006B7093">
        <w:rPr>
          <w:rFonts w:ascii="Times New Roman" w:hAnsi="Times New Roman" w:cs="Times New Roman"/>
          <w:color w:val="000000" w:themeColor="text1"/>
          <w:sz w:val="24"/>
          <w:szCs w:val="24"/>
          <w:lang w:val="en-GB"/>
        </w:rPr>
        <w:t xml:space="preserve">JANČIĆ, Davor: </w:t>
      </w:r>
      <w:r w:rsidRPr="006B7093">
        <w:rPr>
          <w:rFonts w:ascii="Times New Roman" w:hAnsi="Times New Roman" w:cs="Times New Roman"/>
          <w:i/>
          <w:color w:val="000000" w:themeColor="text1"/>
          <w:sz w:val="24"/>
          <w:szCs w:val="24"/>
          <w:lang w:val="en-GB"/>
        </w:rPr>
        <w:t>National parliaments after the Lisbon Treaty and the Euro crisis: Resilience or resignation?</w:t>
      </w:r>
      <w:r w:rsidRPr="006B7093">
        <w:rPr>
          <w:rFonts w:ascii="Times New Roman" w:hAnsi="Times New Roman" w:cs="Times New Roman"/>
          <w:color w:val="000000" w:themeColor="text1"/>
          <w:sz w:val="24"/>
          <w:szCs w:val="24"/>
          <w:lang w:val="en-GB"/>
        </w:rPr>
        <w:t xml:space="preserve"> Oxford: Oxford University Press, 2017. ISBN 9780192509338.</w:t>
      </w:r>
    </w:p>
    <w:p w14:paraId="08FE1D1D" w14:textId="77777777" w:rsidR="009A0EDA" w:rsidRPr="002E4674" w:rsidRDefault="009A0EDA" w:rsidP="002E4674">
      <w:pPr>
        <w:tabs>
          <w:tab w:val="left" w:pos="2047"/>
        </w:tabs>
        <w:spacing w:line="360" w:lineRule="auto"/>
        <w:jc w:val="both"/>
        <w:rPr>
          <w:rFonts w:ascii="Times New Roman" w:hAnsi="Times New Roman" w:cs="Times New Roman"/>
          <w:bCs/>
          <w:color w:val="000000" w:themeColor="text1"/>
          <w:sz w:val="24"/>
          <w:szCs w:val="27"/>
          <w:lang w:val="en-GB"/>
        </w:rPr>
      </w:pPr>
      <w:r w:rsidRPr="002E4674">
        <w:rPr>
          <w:rFonts w:ascii="Times New Roman" w:hAnsi="Times New Roman" w:cs="Times New Roman"/>
          <w:bCs/>
          <w:color w:val="000000" w:themeColor="text1"/>
          <w:sz w:val="24"/>
          <w:szCs w:val="27"/>
          <w:lang w:val="en-GB"/>
        </w:rPr>
        <w:tab/>
      </w:r>
    </w:p>
    <w:p w14:paraId="0428A1E9" w14:textId="77777777" w:rsidR="007A06B6" w:rsidRPr="002E4674" w:rsidRDefault="007A06B6" w:rsidP="002E4674">
      <w:pPr>
        <w:spacing w:line="360" w:lineRule="auto"/>
        <w:jc w:val="both"/>
        <w:rPr>
          <w:rFonts w:ascii="Times New Roman" w:hAnsi="Times New Roman" w:cs="Times New Roman"/>
          <w:i/>
          <w:sz w:val="32"/>
          <w:szCs w:val="32"/>
        </w:rPr>
      </w:pPr>
      <w:bookmarkStart w:id="0" w:name="_GoBack"/>
      <w:bookmarkEnd w:id="0"/>
    </w:p>
    <w:sectPr w:rsidR="007A06B6" w:rsidRPr="002E46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FBEF" w14:textId="77777777" w:rsidR="00241050" w:rsidRDefault="00241050" w:rsidP="00527C75">
      <w:pPr>
        <w:spacing w:after="0" w:line="240" w:lineRule="auto"/>
      </w:pPr>
      <w:r>
        <w:separator/>
      </w:r>
    </w:p>
  </w:endnote>
  <w:endnote w:type="continuationSeparator" w:id="0">
    <w:p w14:paraId="7AB8A727" w14:textId="77777777" w:rsidR="00241050" w:rsidRDefault="00241050" w:rsidP="0052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FF6B" w14:textId="77777777" w:rsidR="00241050" w:rsidRDefault="00241050" w:rsidP="00527C75">
      <w:pPr>
        <w:spacing w:after="0" w:line="240" w:lineRule="auto"/>
      </w:pPr>
      <w:r>
        <w:separator/>
      </w:r>
    </w:p>
  </w:footnote>
  <w:footnote w:type="continuationSeparator" w:id="0">
    <w:p w14:paraId="769CAF32" w14:textId="77777777" w:rsidR="00241050" w:rsidRDefault="00241050" w:rsidP="0052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A94"/>
    <w:multiLevelType w:val="hybridMultilevel"/>
    <w:tmpl w:val="3ADEB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72AA0"/>
    <w:multiLevelType w:val="hybridMultilevel"/>
    <w:tmpl w:val="13BC590C"/>
    <w:lvl w:ilvl="0" w:tplc="34F4C5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A03927"/>
    <w:multiLevelType w:val="hybridMultilevel"/>
    <w:tmpl w:val="A98C1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BA398C"/>
    <w:multiLevelType w:val="hybridMultilevel"/>
    <w:tmpl w:val="CE8EA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5E6578"/>
    <w:multiLevelType w:val="hybridMultilevel"/>
    <w:tmpl w:val="6B225F10"/>
    <w:lvl w:ilvl="0" w:tplc="43E87E4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7530C3E"/>
    <w:multiLevelType w:val="hybridMultilevel"/>
    <w:tmpl w:val="5FDC171C"/>
    <w:lvl w:ilvl="0" w:tplc="D2407092">
      <w:start w:val="1"/>
      <w:numFmt w:val="decimal"/>
      <w:lvlText w:val="%1."/>
      <w:lvlJc w:val="left"/>
      <w:pPr>
        <w:ind w:left="720" w:hanging="360"/>
      </w:pPr>
      <w:rPr>
        <w:rFonts w:eastAsiaTheme="minorHAnsi" w:cstheme="minorBidi"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B275F"/>
    <w:multiLevelType w:val="hybridMultilevel"/>
    <w:tmpl w:val="2A460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034C80"/>
    <w:multiLevelType w:val="hybridMultilevel"/>
    <w:tmpl w:val="31944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0D48A4"/>
    <w:multiLevelType w:val="hybridMultilevel"/>
    <w:tmpl w:val="009819B8"/>
    <w:lvl w:ilvl="0" w:tplc="06C27C76">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62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7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8E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4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49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5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07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41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35596"/>
    <w:multiLevelType w:val="hybridMultilevel"/>
    <w:tmpl w:val="6D967406"/>
    <w:lvl w:ilvl="0" w:tplc="3C0608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65472A"/>
    <w:multiLevelType w:val="hybridMultilevel"/>
    <w:tmpl w:val="0ADE6B92"/>
    <w:lvl w:ilvl="0" w:tplc="8AB26138">
      <w:start w:val="1"/>
      <w:numFmt w:val="decimal"/>
      <w:lvlText w:val="%1."/>
      <w:lvlJc w:val="left"/>
      <w:pPr>
        <w:ind w:left="398" w:hanging="360"/>
      </w:pPr>
      <w:rPr>
        <w:rFonts w:hint="default"/>
      </w:rPr>
    </w:lvl>
    <w:lvl w:ilvl="1" w:tplc="04050019" w:tentative="1">
      <w:start w:val="1"/>
      <w:numFmt w:val="lowerLetter"/>
      <w:lvlText w:val="%2."/>
      <w:lvlJc w:val="left"/>
      <w:pPr>
        <w:ind w:left="1118" w:hanging="360"/>
      </w:pPr>
    </w:lvl>
    <w:lvl w:ilvl="2" w:tplc="0405001B" w:tentative="1">
      <w:start w:val="1"/>
      <w:numFmt w:val="lowerRoman"/>
      <w:lvlText w:val="%3."/>
      <w:lvlJc w:val="right"/>
      <w:pPr>
        <w:ind w:left="1838" w:hanging="180"/>
      </w:pPr>
    </w:lvl>
    <w:lvl w:ilvl="3" w:tplc="0405000F" w:tentative="1">
      <w:start w:val="1"/>
      <w:numFmt w:val="decimal"/>
      <w:lvlText w:val="%4."/>
      <w:lvlJc w:val="left"/>
      <w:pPr>
        <w:ind w:left="2558" w:hanging="360"/>
      </w:pPr>
    </w:lvl>
    <w:lvl w:ilvl="4" w:tplc="04050019" w:tentative="1">
      <w:start w:val="1"/>
      <w:numFmt w:val="lowerLetter"/>
      <w:lvlText w:val="%5."/>
      <w:lvlJc w:val="left"/>
      <w:pPr>
        <w:ind w:left="3278" w:hanging="360"/>
      </w:pPr>
    </w:lvl>
    <w:lvl w:ilvl="5" w:tplc="0405001B" w:tentative="1">
      <w:start w:val="1"/>
      <w:numFmt w:val="lowerRoman"/>
      <w:lvlText w:val="%6."/>
      <w:lvlJc w:val="right"/>
      <w:pPr>
        <w:ind w:left="3998" w:hanging="180"/>
      </w:pPr>
    </w:lvl>
    <w:lvl w:ilvl="6" w:tplc="0405000F" w:tentative="1">
      <w:start w:val="1"/>
      <w:numFmt w:val="decimal"/>
      <w:lvlText w:val="%7."/>
      <w:lvlJc w:val="left"/>
      <w:pPr>
        <w:ind w:left="4718" w:hanging="360"/>
      </w:pPr>
    </w:lvl>
    <w:lvl w:ilvl="7" w:tplc="04050019" w:tentative="1">
      <w:start w:val="1"/>
      <w:numFmt w:val="lowerLetter"/>
      <w:lvlText w:val="%8."/>
      <w:lvlJc w:val="left"/>
      <w:pPr>
        <w:ind w:left="5438" w:hanging="360"/>
      </w:pPr>
    </w:lvl>
    <w:lvl w:ilvl="8" w:tplc="0405001B" w:tentative="1">
      <w:start w:val="1"/>
      <w:numFmt w:val="lowerRoman"/>
      <w:lvlText w:val="%9."/>
      <w:lvlJc w:val="right"/>
      <w:pPr>
        <w:ind w:left="6158" w:hanging="180"/>
      </w:pPr>
    </w:lvl>
  </w:abstractNum>
  <w:abstractNum w:abstractNumId="11" w15:restartNumberingAfterBreak="0">
    <w:nsid w:val="2B396BE9"/>
    <w:multiLevelType w:val="hybridMultilevel"/>
    <w:tmpl w:val="177A0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CF44DC"/>
    <w:multiLevelType w:val="hybridMultilevel"/>
    <w:tmpl w:val="B05C6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1B0750"/>
    <w:multiLevelType w:val="hybridMultilevel"/>
    <w:tmpl w:val="ED209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3611F6"/>
    <w:multiLevelType w:val="hybridMultilevel"/>
    <w:tmpl w:val="A20891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1A0048"/>
    <w:multiLevelType w:val="hybridMultilevel"/>
    <w:tmpl w:val="0BBA1F54"/>
    <w:lvl w:ilvl="0" w:tplc="4392BA4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C170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2742E">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2DFF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AFF4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FA48">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2003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E70BC">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C4422">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571EE5"/>
    <w:multiLevelType w:val="hybridMultilevel"/>
    <w:tmpl w:val="1C6CC43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20F7E"/>
    <w:multiLevelType w:val="hybridMultilevel"/>
    <w:tmpl w:val="AAB2F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6B4E1A"/>
    <w:multiLevelType w:val="hybridMultilevel"/>
    <w:tmpl w:val="C4FEC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EF1D0F"/>
    <w:multiLevelType w:val="hybridMultilevel"/>
    <w:tmpl w:val="FA182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0864C6"/>
    <w:multiLevelType w:val="hybridMultilevel"/>
    <w:tmpl w:val="EF3A3BC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843A14"/>
    <w:multiLevelType w:val="hybridMultilevel"/>
    <w:tmpl w:val="7DBAD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E34B36"/>
    <w:multiLevelType w:val="hybridMultilevel"/>
    <w:tmpl w:val="2CB0B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AE0CFA"/>
    <w:multiLevelType w:val="hybridMultilevel"/>
    <w:tmpl w:val="2E9674AE"/>
    <w:lvl w:ilvl="0" w:tplc="34F4C55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67A72EF1"/>
    <w:multiLevelType w:val="hybridMultilevel"/>
    <w:tmpl w:val="BC242B70"/>
    <w:lvl w:ilvl="0" w:tplc="D9EE0B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9723B6"/>
    <w:multiLevelType w:val="hybridMultilevel"/>
    <w:tmpl w:val="8056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501379"/>
    <w:multiLevelType w:val="hybridMultilevel"/>
    <w:tmpl w:val="8C1A22B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E26970"/>
    <w:multiLevelType w:val="hybridMultilevel"/>
    <w:tmpl w:val="54B0442C"/>
    <w:lvl w:ilvl="0" w:tplc="AFEEF332">
      <w:start w:val="1"/>
      <w:numFmt w:val="decimal"/>
      <w:lvlText w:val="%1."/>
      <w:lvlJc w:val="left"/>
      <w:pPr>
        <w:tabs>
          <w:tab w:val="num" w:pos="720"/>
        </w:tabs>
        <w:ind w:left="720" w:hanging="360"/>
      </w:pPr>
      <w:rPr>
        <w:rFonts w:cs="Times New Roman"/>
        <w:color w:val="000000" w:themeColor="text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FA76EE"/>
    <w:multiLevelType w:val="hybridMultilevel"/>
    <w:tmpl w:val="97788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C303AD"/>
    <w:multiLevelType w:val="hybridMultilevel"/>
    <w:tmpl w:val="7E223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C50DBC"/>
    <w:multiLevelType w:val="hybridMultilevel"/>
    <w:tmpl w:val="0B90D0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BCE5DA0"/>
    <w:multiLevelType w:val="hybridMultilevel"/>
    <w:tmpl w:val="0174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9"/>
  </w:num>
  <w:num w:numId="5">
    <w:abstractNumId w:val="0"/>
  </w:num>
  <w:num w:numId="6">
    <w:abstractNumId w:val="28"/>
  </w:num>
  <w:num w:numId="7">
    <w:abstractNumId w:val="31"/>
  </w:num>
  <w:num w:numId="8">
    <w:abstractNumId w:val="6"/>
  </w:num>
  <w:num w:numId="9">
    <w:abstractNumId w:val="16"/>
  </w:num>
  <w:num w:numId="10">
    <w:abstractNumId w:val="3"/>
  </w:num>
  <w:num w:numId="11">
    <w:abstractNumId w:val="1"/>
  </w:num>
  <w:num w:numId="12">
    <w:abstractNumId w:val="22"/>
  </w:num>
  <w:num w:numId="13">
    <w:abstractNumId w:val="15"/>
  </w:num>
  <w:num w:numId="14">
    <w:abstractNumId w:val="8"/>
  </w:num>
  <w:num w:numId="15">
    <w:abstractNumId w:val="27"/>
  </w:num>
  <w:num w:numId="16">
    <w:abstractNumId w:val="4"/>
  </w:num>
  <w:num w:numId="17">
    <w:abstractNumId w:val="29"/>
  </w:num>
  <w:num w:numId="18">
    <w:abstractNumId w:val="14"/>
  </w:num>
  <w:num w:numId="19">
    <w:abstractNumId w:val="17"/>
  </w:num>
  <w:num w:numId="20">
    <w:abstractNumId w:val="2"/>
  </w:num>
  <w:num w:numId="21">
    <w:abstractNumId w:val="25"/>
  </w:num>
  <w:num w:numId="22">
    <w:abstractNumId w:val="12"/>
  </w:num>
  <w:num w:numId="23">
    <w:abstractNumId w:val="5"/>
  </w:num>
  <w:num w:numId="24">
    <w:abstractNumId w:val="30"/>
  </w:num>
  <w:num w:numId="25">
    <w:abstractNumId w:val="23"/>
  </w:num>
  <w:num w:numId="26">
    <w:abstractNumId w:val="10"/>
  </w:num>
  <w:num w:numId="27">
    <w:abstractNumId w:val="18"/>
  </w:num>
  <w:num w:numId="28">
    <w:abstractNumId w:val="21"/>
  </w:num>
  <w:num w:numId="29">
    <w:abstractNumId w:val="13"/>
  </w:num>
  <w:num w:numId="30">
    <w:abstractNumId w:val="20"/>
  </w:num>
  <w:num w:numId="31">
    <w:abstractNumId w:val="26"/>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8"/>
    <w:rsid w:val="00035A26"/>
    <w:rsid w:val="00202C34"/>
    <w:rsid w:val="00232D8E"/>
    <w:rsid w:val="00241050"/>
    <w:rsid w:val="002E4674"/>
    <w:rsid w:val="002F02FA"/>
    <w:rsid w:val="002F04E2"/>
    <w:rsid w:val="0039666A"/>
    <w:rsid w:val="00406091"/>
    <w:rsid w:val="00415F52"/>
    <w:rsid w:val="00494C99"/>
    <w:rsid w:val="00527C75"/>
    <w:rsid w:val="0053237A"/>
    <w:rsid w:val="005807A3"/>
    <w:rsid w:val="00583324"/>
    <w:rsid w:val="005F177D"/>
    <w:rsid w:val="00624448"/>
    <w:rsid w:val="006359A1"/>
    <w:rsid w:val="00690B78"/>
    <w:rsid w:val="006B4185"/>
    <w:rsid w:val="006B7093"/>
    <w:rsid w:val="00706700"/>
    <w:rsid w:val="00734D1A"/>
    <w:rsid w:val="007A06B6"/>
    <w:rsid w:val="0081721A"/>
    <w:rsid w:val="009A0EDA"/>
    <w:rsid w:val="009F21B9"/>
    <w:rsid w:val="00A0771B"/>
    <w:rsid w:val="00A75248"/>
    <w:rsid w:val="00B95C6A"/>
    <w:rsid w:val="00D66312"/>
    <w:rsid w:val="00E001FD"/>
    <w:rsid w:val="00E1570E"/>
    <w:rsid w:val="00E4503F"/>
    <w:rsid w:val="00E5740F"/>
    <w:rsid w:val="00E66090"/>
    <w:rsid w:val="00EB010C"/>
    <w:rsid w:val="00F4084F"/>
    <w:rsid w:val="00F76678"/>
    <w:rsid w:val="00FB1406"/>
    <w:rsid w:val="00FE2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9035"/>
  <w15:chartTrackingRefBased/>
  <w15:docId w15:val="{C68F59D0-1B99-4074-B0D8-EE4A711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06B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Nadpis2">
    <w:name w:val="heading 2"/>
    <w:basedOn w:val="Normln"/>
    <w:next w:val="Normln"/>
    <w:link w:val="Nadpis2Char"/>
    <w:uiPriority w:val="9"/>
    <w:unhideWhenUsed/>
    <w:qFormat/>
    <w:rsid w:val="007A06B6"/>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Nadpis3">
    <w:name w:val="heading 3"/>
    <w:basedOn w:val="Normln"/>
    <w:next w:val="Normln"/>
    <w:link w:val="Nadpis3Char"/>
    <w:uiPriority w:val="9"/>
    <w:unhideWhenUsed/>
    <w:qFormat/>
    <w:rsid w:val="007A06B6"/>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7C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C75"/>
  </w:style>
  <w:style w:type="paragraph" w:styleId="Zpat">
    <w:name w:val="footer"/>
    <w:basedOn w:val="Normln"/>
    <w:link w:val="ZpatChar"/>
    <w:uiPriority w:val="99"/>
    <w:unhideWhenUsed/>
    <w:rsid w:val="00527C75"/>
    <w:pPr>
      <w:tabs>
        <w:tab w:val="center" w:pos="4536"/>
        <w:tab w:val="right" w:pos="9072"/>
      </w:tabs>
      <w:spacing w:after="0" w:line="240" w:lineRule="auto"/>
    </w:pPr>
  </w:style>
  <w:style w:type="character" w:customStyle="1" w:styleId="ZpatChar">
    <w:name w:val="Zápatí Char"/>
    <w:basedOn w:val="Standardnpsmoodstavce"/>
    <w:link w:val="Zpat"/>
    <w:uiPriority w:val="99"/>
    <w:rsid w:val="00527C75"/>
  </w:style>
  <w:style w:type="paragraph" w:styleId="Odstavecseseznamem">
    <w:name w:val="List Paragraph"/>
    <w:basedOn w:val="Normln"/>
    <w:uiPriority w:val="34"/>
    <w:qFormat/>
    <w:rsid w:val="00FB1406"/>
    <w:pPr>
      <w:spacing w:after="200" w:line="276" w:lineRule="auto"/>
      <w:ind w:left="720"/>
      <w:contextualSpacing/>
    </w:pPr>
    <w:rPr>
      <w:rFonts w:ascii="Calibri" w:hAnsi="Calibri" w:cs="Calibri"/>
    </w:rPr>
  </w:style>
  <w:style w:type="character" w:customStyle="1" w:styleId="tlid-translation">
    <w:name w:val="tlid-translation"/>
    <w:basedOn w:val="Standardnpsmoodstavce"/>
    <w:rsid w:val="00FB1406"/>
  </w:style>
  <w:style w:type="character" w:customStyle="1" w:styleId="Nadpis1Char">
    <w:name w:val="Nadpis 1 Char"/>
    <w:basedOn w:val="Standardnpsmoodstavce"/>
    <w:link w:val="Nadpis1"/>
    <w:uiPriority w:val="9"/>
    <w:rsid w:val="007A06B6"/>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Standardnpsmoodstavce"/>
    <w:link w:val="Nadpis2"/>
    <w:uiPriority w:val="9"/>
    <w:rsid w:val="007A06B6"/>
    <w:rPr>
      <w:rFonts w:asciiTheme="majorHAnsi" w:eastAsiaTheme="majorEastAsia" w:hAnsiTheme="majorHAnsi" w:cstheme="majorBidi"/>
      <w:color w:val="2E74B5" w:themeColor="accent1" w:themeShade="BF"/>
      <w:sz w:val="26"/>
      <w:szCs w:val="26"/>
      <w:lang w:val="en-US"/>
    </w:rPr>
  </w:style>
  <w:style w:type="character" w:customStyle="1" w:styleId="Nadpis3Char">
    <w:name w:val="Nadpis 3 Char"/>
    <w:basedOn w:val="Standardnpsmoodstavce"/>
    <w:link w:val="Nadpis3"/>
    <w:uiPriority w:val="9"/>
    <w:rsid w:val="007A06B6"/>
    <w:rPr>
      <w:rFonts w:asciiTheme="majorHAnsi" w:eastAsiaTheme="majorEastAsia" w:hAnsiTheme="majorHAnsi" w:cstheme="majorBidi"/>
      <w:color w:val="1F4D78" w:themeColor="accent1" w:themeShade="7F"/>
      <w:sz w:val="24"/>
      <w:szCs w:val="24"/>
      <w:lang w:val="en-US"/>
    </w:rPr>
  </w:style>
  <w:style w:type="paragraph" w:customStyle="1" w:styleId="Default">
    <w:name w:val="Default"/>
    <w:rsid w:val="007A06B6"/>
    <w:pPr>
      <w:autoSpaceDE w:val="0"/>
      <w:autoSpaceDN w:val="0"/>
      <w:adjustRightInd w:val="0"/>
      <w:spacing w:after="0" w:line="240" w:lineRule="auto"/>
    </w:pPr>
    <w:rPr>
      <w:rFonts w:ascii="Times New Roman" w:hAnsi="Times New Roman" w:cs="Times New Roman"/>
      <w:color w:val="000000"/>
      <w:sz w:val="24"/>
      <w:szCs w:val="24"/>
    </w:rPr>
  </w:style>
  <w:style w:type="character" w:styleId="Zdraznnjemn">
    <w:name w:val="Subtle Emphasis"/>
    <w:basedOn w:val="Standardnpsmoodstavce"/>
    <w:uiPriority w:val="19"/>
    <w:qFormat/>
    <w:rsid w:val="007A06B6"/>
    <w:rPr>
      <w:i/>
      <w:iCs/>
      <w:color w:val="808080" w:themeColor="text1" w:themeTint="7F"/>
    </w:rPr>
  </w:style>
  <w:style w:type="paragraph" w:styleId="FormtovanvHTML">
    <w:name w:val="HTML Preformatted"/>
    <w:basedOn w:val="Normln"/>
    <w:link w:val="FormtovanvHTMLChar"/>
    <w:uiPriority w:val="99"/>
    <w:unhideWhenUsed/>
    <w:rsid w:val="007A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7A06B6"/>
    <w:rPr>
      <w:rFonts w:ascii="Courier New" w:eastAsia="Times New Roman" w:hAnsi="Courier New" w:cs="Courier New"/>
      <w:sz w:val="20"/>
      <w:szCs w:val="20"/>
      <w:lang w:eastAsia="cs-CZ"/>
    </w:rPr>
  </w:style>
  <w:style w:type="paragraph" w:styleId="Normlnweb">
    <w:name w:val="Normal (Web)"/>
    <w:basedOn w:val="Normln"/>
    <w:uiPriority w:val="99"/>
    <w:rsid w:val="007A06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A0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868D-2A3D-4560-BAD3-C75570BE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1117</Words>
  <Characters>6591</Characters>
  <Application>Microsoft Office Word</Application>
  <DocSecurity>0</DocSecurity>
  <Lines>54</Lines>
  <Paragraphs>15</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Brousilová</dc:creator>
  <cp:keywords/>
  <dc:description/>
  <cp:lastModifiedBy>Patricie Brousilová</cp:lastModifiedBy>
  <cp:revision>9</cp:revision>
  <dcterms:created xsi:type="dcterms:W3CDTF">2019-11-05T15:19:00Z</dcterms:created>
  <dcterms:modified xsi:type="dcterms:W3CDTF">2020-06-02T14:58:00Z</dcterms:modified>
</cp:coreProperties>
</file>